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187 x 189 x 298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4007841081973</w:t>
      </w:r>
      <w:br/>
      <w:r>
        <w:rPr/>
        <w:t xml:space="preserve">• Applications: Extérieur</w:t>
      </w:r>
      <w:br/>
      <w:r>
        <w:rPr/>
        <w:t xml:space="preserve">• Emplacement, pièce: extérieur, Cour et allée, tout autour du bâtiment, terrasse / balcon, entrée</w:t>
      </w:r>
      <w:br/>
      <w:r>
        <w:rPr/>
        <w:t xml:space="preserve">• Coloris: anthracite</w:t>
      </w:r>
      <w:br/>
      <w:r>
        <w:rPr/>
        <w:t xml:space="preserve">• Couleur, RAL: 7016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PC structurée</w:t>
      </w:r>
      <w:br/>
      <w:r>
        <w:rPr/>
        <w:t xml:space="preserve">• Tension d'alimentation détails: solaire, indépend. du réseau, Batterie lithium-phosphate de fer 3000 mAh</w:t>
      </w:r>
      <w:br/>
      <w:r>
        <w:rPr/>
        <w:t xml:space="preserve">• Hauteur de montage max.: 2,00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Portée radiale: r = 2 m (5 m²)</w:t>
      </w:r>
      <w:br/>
      <w:r>
        <w:rPr/>
        <w:t xml:space="preserve">• Portée tangentielle: r = 8 m (78 m²)</w:t>
      </w:r>
      <w:br/>
      <w:r>
        <w:rPr/>
        <w:t xml:space="preserve">• Flux lumineux total du produit: 150 lm</w:t>
      </w:r>
      <w:br/>
      <w:r>
        <w:rPr/>
        <w:t xml:space="preserve">• Flux lumineux mesure (360°): 150 lm</w:t>
      </w:r>
      <w:br/>
      <w:r>
        <w:rPr/>
        <w:t xml:space="preserve">• Température de couleur: 3000 K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Fonction balisage en pourcentage, jusqu'à: 3 %</w:t>
      </w:r>
      <w:br/>
      <w:r>
        <w:rPr/>
        <w:t xml:space="preserve">• Puissance: 1,2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Angle de détection: 140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081973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L-S ONE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2026-05-12T01:00:15+02:00</dcterms:created>
  <dcterms:modified xsi:type="dcterms:W3CDTF">2026-05-12T01:00:15+02:00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